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735C" w:rsidRPr="00BD735C" w:rsidP="00BD735C">
      <w:pPr>
        <w:ind w:firstLine="567"/>
        <w:jc w:val="center"/>
        <w:rPr>
          <w:b/>
          <w:sz w:val="26"/>
          <w:szCs w:val="26"/>
        </w:rPr>
      </w:pPr>
      <w:r w:rsidRPr="00BD735C">
        <w:rPr>
          <w:b/>
          <w:sz w:val="26"/>
          <w:szCs w:val="26"/>
        </w:rPr>
        <w:t>РЕЗОЛЮТИВНАЯ ЧАСТЬ РЕШЕНИЯ</w:t>
      </w:r>
    </w:p>
    <w:p w:rsidR="00BD735C" w:rsidRPr="00BD735C" w:rsidP="00BD735C">
      <w:pPr>
        <w:ind w:firstLine="567"/>
        <w:jc w:val="center"/>
        <w:rPr>
          <w:b/>
          <w:sz w:val="26"/>
          <w:szCs w:val="26"/>
        </w:rPr>
      </w:pPr>
      <w:r w:rsidRPr="00BD735C">
        <w:rPr>
          <w:b/>
          <w:sz w:val="26"/>
          <w:szCs w:val="26"/>
        </w:rPr>
        <w:t>ИМЕНЕМ РОССИЙСКОЙ ФЕДЕРАЦИИ</w:t>
      </w:r>
    </w:p>
    <w:p w:rsidR="00BD735C" w:rsidRPr="00BD735C" w:rsidP="00BD735C">
      <w:pPr>
        <w:ind w:firstLine="567"/>
        <w:jc w:val="center"/>
        <w:rPr>
          <w:sz w:val="26"/>
          <w:szCs w:val="26"/>
        </w:rPr>
      </w:pPr>
    </w:p>
    <w:p w:rsidR="00BD735C" w:rsidRPr="00BD735C" w:rsidP="00BD735C">
      <w:pPr>
        <w:widowControl/>
        <w:autoSpaceDE/>
        <w:adjustRightInd/>
        <w:jc w:val="both"/>
        <w:rPr>
          <w:sz w:val="26"/>
          <w:szCs w:val="26"/>
        </w:rPr>
      </w:pPr>
      <w:r w:rsidRPr="00BD735C">
        <w:rPr>
          <w:sz w:val="26"/>
          <w:szCs w:val="26"/>
        </w:rPr>
        <w:t xml:space="preserve">г. Ханты-Мансийск                                                   </w:t>
      </w:r>
      <w:r>
        <w:rPr>
          <w:sz w:val="26"/>
          <w:szCs w:val="26"/>
        </w:rPr>
        <w:t xml:space="preserve">                         </w:t>
      </w:r>
      <w:r w:rsidRPr="00BD735C">
        <w:rPr>
          <w:sz w:val="26"/>
          <w:szCs w:val="26"/>
        </w:rPr>
        <w:t xml:space="preserve">      3 июня 2026 года </w:t>
      </w:r>
    </w:p>
    <w:p w:rsidR="00BD735C" w:rsidRPr="00BD735C" w:rsidP="00BD735C">
      <w:pPr>
        <w:widowControl/>
        <w:autoSpaceDE/>
        <w:adjustRightInd/>
        <w:jc w:val="both"/>
        <w:rPr>
          <w:sz w:val="26"/>
          <w:szCs w:val="26"/>
        </w:rPr>
      </w:pPr>
    </w:p>
    <w:p w:rsidR="00BD735C" w:rsidRPr="00BD735C" w:rsidP="00BD735C">
      <w:pPr>
        <w:widowControl/>
        <w:autoSpaceDE/>
        <w:adjustRightInd/>
        <w:ind w:firstLine="567"/>
        <w:jc w:val="both"/>
        <w:rPr>
          <w:sz w:val="26"/>
          <w:szCs w:val="26"/>
        </w:rPr>
      </w:pPr>
      <w:r w:rsidRPr="00BD735C">
        <w:rPr>
          <w:sz w:val="26"/>
          <w:szCs w:val="26"/>
        </w:rPr>
        <w:t>Мировой судья судебного участка №2 Хант</w:t>
      </w:r>
      <w:r>
        <w:rPr>
          <w:sz w:val="26"/>
          <w:szCs w:val="26"/>
        </w:rPr>
        <w:t xml:space="preserve">ы-Мансийского судебного района </w:t>
      </w:r>
      <w:r w:rsidRPr="00BD735C">
        <w:rPr>
          <w:sz w:val="26"/>
          <w:szCs w:val="26"/>
        </w:rPr>
        <w:t>Ханты-Мансийс</w:t>
      </w:r>
      <w:r>
        <w:rPr>
          <w:sz w:val="26"/>
          <w:szCs w:val="26"/>
        </w:rPr>
        <w:t xml:space="preserve">кого автономного округа - Югры </w:t>
      </w:r>
      <w:r w:rsidRPr="00BD735C">
        <w:rPr>
          <w:sz w:val="26"/>
          <w:szCs w:val="26"/>
        </w:rPr>
        <w:t>Новокшенова О.А.,</w:t>
      </w:r>
    </w:p>
    <w:p w:rsidR="00BD735C" w:rsidRPr="00BD735C" w:rsidP="00BD735C">
      <w:pPr>
        <w:widowControl/>
        <w:autoSpaceDE/>
        <w:adjustRightInd/>
        <w:ind w:firstLine="567"/>
        <w:jc w:val="both"/>
        <w:rPr>
          <w:sz w:val="26"/>
          <w:szCs w:val="26"/>
        </w:rPr>
      </w:pPr>
      <w:r w:rsidRPr="00BD735C">
        <w:rPr>
          <w:sz w:val="26"/>
          <w:szCs w:val="26"/>
        </w:rPr>
        <w:t>при секретаре Тесленко С.Ю.,</w:t>
      </w:r>
    </w:p>
    <w:p w:rsidR="00BD735C" w:rsidRPr="00BD735C" w:rsidP="00BD735C">
      <w:pPr>
        <w:widowControl/>
        <w:autoSpaceDE/>
        <w:adjustRightInd/>
        <w:ind w:firstLine="567"/>
        <w:jc w:val="both"/>
        <w:rPr>
          <w:sz w:val="26"/>
          <w:szCs w:val="26"/>
        </w:rPr>
      </w:pPr>
      <w:r w:rsidRPr="00BD735C">
        <w:rPr>
          <w:sz w:val="26"/>
          <w:szCs w:val="26"/>
        </w:rPr>
        <w:t>с участием представители истца, представителя ответчика,</w:t>
      </w:r>
    </w:p>
    <w:p w:rsidR="00BD735C" w:rsidRPr="00BD735C" w:rsidP="00BD735C">
      <w:pPr>
        <w:widowControl/>
        <w:autoSpaceDE/>
        <w:adjustRightInd/>
        <w:ind w:firstLine="567"/>
        <w:jc w:val="both"/>
        <w:rPr>
          <w:sz w:val="26"/>
          <w:szCs w:val="26"/>
        </w:rPr>
      </w:pPr>
      <w:r w:rsidRPr="00BD735C">
        <w:rPr>
          <w:sz w:val="26"/>
          <w:szCs w:val="26"/>
        </w:rPr>
        <w:t xml:space="preserve">рассмотрев в открытом судебном заседании гражданское дело №2-1032-2802/2026 по исковому заявлению Зайцевой </w:t>
      </w:r>
      <w:r w:rsidR="00CB30F5">
        <w:rPr>
          <w:sz w:val="24"/>
          <w:szCs w:val="24"/>
        </w:rPr>
        <w:t>**</w:t>
      </w:r>
      <w:r w:rsidR="00CB30F5">
        <w:rPr>
          <w:sz w:val="24"/>
          <w:szCs w:val="24"/>
        </w:rPr>
        <w:t xml:space="preserve">*  </w:t>
      </w:r>
      <w:r w:rsidRPr="00BD735C">
        <w:rPr>
          <w:sz w:val="26"/>
          <w:szCs w:val="26"/>
        </w:rPr>
        <w:t>к</w:t>
      </w:r>
      <w:r w:rsidRPr="00BD735C">
        <w:rPr>
          <w:sz w:val="26"/>
          <w:szCs w:val="26"/>
        </w:rPr>
        <w:t xml:space="preserve"> </w:t>
      </w:r>
      <w:r w:rsidR="00DE0154">
        <w:rPr>
          <w:sz w:val="26"/>
          <w:szCs w:val="26"/>
        </w:rPr>
        <w:t>ХМАО – Югре в лице Службы</w:t>
      </w:r>
      <w:r w:rsidRPr="00BD735C">
        <w:rPr>
          <w:sz w:val="26"/>
          <w:szCs w:val="26"/>
        </w:rPr>
        <w:t xml:space="preserve"> государственной охраны объектов культурного наследия ХМАО - Югры о возмещении ущерба,   </w:t>
      </w:r>
    </w:p>
    <w:p w:rsidR="00BD735C" w:rsidRPr="00BD735C" w:rsidP="00BD735C">
      <w:pPr>
        <w:pStyle w:val="BodyText2"/>
        <w:ind w:firstLine="567"/>
        <w:jc w:val="both"/>
        <w:rPr>
          <w:sz w:val="26"/>
          <w:szCs w:val="26"/>
        </w:rPr>
      </w:pPr>
    </w:p>
    <w:p w:rsidR="00BD735C" w:rsidRPr="00BD735C" w:rsidP="00BD735C">
      <w:pPr>
        <w:ind w:firstLine="567"/>
        <w:jc w:val="center"/>
        <w:rPr>
          <w:sz w:val="26"/>
          <w:szCs w:val="26"/>
        </w:rPr>
      </w:pPr>
      <w:r w:rsidRPr="00BD735C">
        <w:rPr>
          <w:b/>
          <w:sz w:val="26"/>
          <w:szCs w:val="26"/>
        </w:rPr>
        <w:t>РЕШИЛ</w:t>
      </w:r>
      <w:r w:rsidRPr="00BD735C">
        <w:rPr>
          <w:sz w:val="26"/>
          <w:szCs w:val="26"/>
        </w:rPr>
        <w:t>:</w:t>
      </w:r>
    </w:p>
    <w:p w:rsidR="00BD735C" w:rsidRPr="00BD735C" w:rsidP="00BD735C">
      <w:pPr>
        <w:ind w:firstLine="567"/>
        <w:jc w:val="both"/>
        <w:rPr>
          <w:sz w:val="26"/>
          <w:szCs w:val="26"/>
        </w:rPr>
      </w:pPr>
    </w:p>
    <w:p w:rsidR="00BD735C" w:rsidRPr="00BD735C" w:rsidP="00BD735C">
      <w:pPr>
        <w:pStyle w:val="BodyText2"/>
        <w:ind w:firstLine="567"/>
        <w:jc w:val="both"/>
        <w:rPr>
          <w:sz w:val="26"/>
          <w:szCs w:val="26"/>
        </w:rPr>
      </w:pPr>
      <w:r w:rsidRPr="00BD735C">
        <w:rPr>
          <w:sz w:val="26"/>
          <w:szCs w:val="26"/>
        </w:rPr>
        <w:t xml:space="preserve">Исковые требования </w:t>
      </w:r>
      <w:r w:rsidRPr="00BD735C" w:rsidR="00DE0154">
        <w:rPr>
          <w:sz w:val="26"/>
          <w:szCs w:val="26"/>
        </w:rPr>
        <w:t xml:space="preserve">Зайцевой </w:t>
      </w:r>
      <w:r w:rsidR="00CB30F5">
        <w:rPr>
          <w:sz w:val="24"/>
          <w:szCs w:val="24"/>
        </w:rPr>
        <w:t>**</w:t>
      </w:r>
      <w:r w:rsidR="00CB30F5">
        <w:rPr>
          <w:sz w:val="24"/>
          <w:szCs w:val="24"/>
        </w:rPr>
        <w:t xml:space="preserve">*  </w:t>
      </w:r>
      <w:r w:rsidRPr="00BD735C" w:rsidR="00DE0154">
        <w:rPr>
          <w:sz w:val="26"/>
          <w:szCs w:val="26"/>
        </w:rPr>
        <w:t>к</w:t>
      </w:r>
      <w:r w:rsidRPr="00BD735C" w:rsidR="00DE0154">
        <w:rPr>
          <w:sz w:val="26"/>
          <w:szCs w:val="26"/>
        </w:rPr>
        <w:t xml:space="preserve"> </w:t>
      </w:r>
      <w:r w:rsidR="00DE0154">
        <w:rPr>
          <w:sz w:val="26"/>
          <w:szCs w:val="26"/>
        </w:rPr>
        <w:t>ХМАО – Югре в лице Службы</w:t>
      </w:r>
      <w:r w:rsidRPr="00BD735C" w:rsidR="00DE0154">
        <w:rPr>
          <w:sz w:val="26"/>
          <w:szCs w:val="26"/>
        </w:rPr>
        <w:t xml:space="preserve"> государственной охраны объектов культурного наследия ХМАО - Югры о возмещении ущерба</w:t>
      </w:r>
      <w:r w:rsidRPr="00BD735C">
        <w:rPr>
          <w:sz w:val="26"/>
          <w:szCs w:val="26"/>
        </w:rPr>
        <w:t xml:space="preserve"> удовлетворить частично.  </w:t>
      </w:r>
    </w:p>
    <w:p w:rsidR="00BD735C" w:rsidRPr="00BD735C" w:rsidP="00BD735C">
      <w:pPr>
        <w:pStyle w:val="BodyTextIndent3"/>
        <w:ind w:firstLine="567"/>
        <w:rPr>
          <w:sz w:val="26"/>
          <w:szCs w:val="26"/>
        </w:rPr>
      </w:pPr>
      <w:r w:rsidRPr="00BD735C">
        <w:rPr>
          <w:sz w:val="26"/>
          <w:szCs w:val="26"/>
        </w:rPr>
        <w:t xml:space="preserve">Взыскать с Ханты-Мансийского автономного округа – Югры в лице Службы государственной охраны объектов культурного наследия ХМАО - Югры (ИНН </w:t>
      </w:r>
      <w:r w:rsidR="00CB30F5">
        <w:rPr>
          <w:szCs w:val="24"/>
        </w:rPr>
        <w:t xml:space="preserve">***  </w:t>
      </w:r>
      <w:r w:rsidRPr="00BD735C">
        <w:rPr>
          <w:sz w:val="26"/>
          <w:szCs w:val="26"/>
        </w:rPr>
        <w:t xml:space="preserve">) в пользу Зайцевой </w:t>
      </w:r>
      <w:r w:rsidR="00CB30F5">
        <w:rPr>
          <w:szCs w:val="24"/>
        </w:rPr>
        <w:t xml:space="preserve">***  </w:t>
      </w:r>
      <w:r w:rsidRPr="00BD735C">
        <w:rPr>
          <w:sz w:val="26"/>
          <w:szCs w:val="26"/>
        </w:rPr>
        <w:t xml:space="preserve">(паспорт </w:t>
      </w:r>
      <w:r w:rsidR="00CB30F5">
        <w:rPr>
          <w:szCs w:val="24"/>
        </w:rPr>
        <w:t xml:space="preserve">***  </w:t>
      </w:r>
      <w:r w:rsidRPr="00BD735C">
        <w:rPr>
          <w:sz w:val="26"/>
          <w:szCs w:val="26"/>
        </w:rPr>
        <w:t>) 15000 руб. – убытки за услуги юриста</w:t>
      </w:r>
      <w:r>
        <w:rPr>
          <w:sz w:val="26"/>
          <w:szCs w:val="26"/>
        </w:rPr>
        <w:t xml:space="preserve"> по делу об административном правонарушении</w:t>
      </w:r>
      <w:r w:rsidRPr="00BD735C">
        <w:rPr>
          <w:sz w:val="26"/>
          <w:szCs w:val="26"/>
        </w:rPr>
        <w:t>, 1000 руб. – убытки за по пучение справки, 4000 руб. – в счет возмещения оплаты госпошлины.</w:t>
      </w:r>
    </w:p>
    <w:p w:rsidR="00BD735C" w:rsidRPr="00BD735C" w:rsidP="00BD735C">
      <w:pPr>
        <w:pStyle w:val="BodyTextIndent3"/>
        <w:ind w:firstLine="567"/>
        <w:rPr>
          <w:sz w:val="26"/>
          <w:szCs w:val="26"/>
        </w:rPr>
      </w:pPr>
      <w:r w:rsidRPr="00BD735C">
        <w:rPr>
          <w:sz w:val="26"/>
          <w:szCs w:val="26"/>
        </w:rPr>
        <w:t>В остальной части иска отказать.</w:t>
      </w:r>
    </w:p>
    <w:p w:rsidR="00BD735C" w:rsidRPr="00BD735C" w:rsidP="00BD735C">
      <w:pPr>
        <w:pStyle w:val="BodyText2"/>
        <w:ind w:firstLine="567"/>
        <w:jc w:val="both"/>
        <w:rPr>
          <w:sz w:val="26"/>
          <w:szCs w:val="26"/>
        </w:rPr>
      </w:pPr>
      <w:r w:rsidRPr="00BD735C">
        <w:rPr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 w:rsidR="00BD735C" w:rsidRPr="00BD735C" w:rsidP="00BD735C">
      <w:pPr>
        <w:widowControl/>
        <w:ind w:firstLine="567"/>
        <w:jc w:val="both"/>
        <w:rPr>
          <w:sz w:val="26"/>
          <w:szCs w:val="26"/>
        </w:rPr>
      </w:pPr>
      <w:r w:rsidRPr="00BD735C">
        <w:rPr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BD735C">
        <w:rPr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BD735C">
        <w:rPr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735C" w:rsidRPr="00BD735C" w:rsidP="00BD735C">
      <w:pPr>
        <w:shd w:val="clear" w:color="auto" w:fill="FFFFFF"/>
        <w:spacing w:line="269" w:lineRule="exact"/>
        <w:ind w:right="24"/>
        <w:jc w:val="both"/>
        <w:rPr>
          <w:sz w:val="26"/>
          <w:szCs w:val="26"/>
        </w:rPr>
      </w:pPr>
    </w:p>
    <w:p w:rsidR="00BD735C" w:rsidRPr="00BD735C" w:rsidP="00BD735C">
      <w:pPr>
        <w:shd w:val="clear" w:color="auto" w:fill="FFFFFF"/>
        <w:spacing w:line="269" w:lineRule="exact"/>
        <w:ind w:right="24"/>
        <w:jc w:val="both"/>
        <w:rPr>
          <w:sz w:val="26"/>
          <w:szCs w:val="26"/>
        </w:rPr>
      </w:pPr>
    </w:p>
    <w:p w:rsidR="00BD735C" w:rsidRPr="00BD735C" w:rsidP="00BD735C">
      <w:pPr>
        <w:jc w:val="both"/>
        <w:rPr>
          <w:sz w:val="26"/>
          <w:szCs w:val="26"/>
        </w:rPr>
      </w:pPr>
      <w:r w:rsidRPr="00BD735C">
        <w:rPr>
          <w:sz w:val="26"/>
          <w:szCs w:val="26"/>
        </w:rPr>
        <w:t xml:space="preserve">Мировой судья  </w:t>
      </w:r>
      <w:r>
        <w:rPr>
          <w:sz w:val="26"/>
          <w:szCs w:val="26"/>
        </w:rPr>
        <w:t xml:space="preserve">                       </w:t>
      </w:r>
      <w:r w:rsidRPr="00BD735C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                                             </w:t>
      </w:r>
      <w:r w:rsidRPr="00BD735C">
        <w:rPr>
          <w:sz w:val="26"/>
          <w:szCs w:val="26"/>
        </w:rPr>
        <w:t>О.А. Новокшенова</w:t>
      </w:r>
    </w:p>
    <w:p w:rsidR="00BD735C" w:rsidRPr="00BD735C" w:rsidP="00BD735C">
      <w:pPr>
        <w:jc w:val="both"/>
        <w:rPr>
          <w:sz w:val="26"/>
          <w:szCs w:val="26"/>
        </w:rPr>
      </w:pPr>
      <w:r w:rsidRPr="00BD735C">
        <w:rPr>
          <w:sz w:val="26"/>
          <w:szCs w:val="26"/>
        </w:rPr>
        <w:t>Копия верна.</w:t>
      </w:r>
    </w:p>
    <w:p w:rsidR="00BD735C" w:rsidRPr="00BD735C" w:rsidP="00BD735C">
      <w:pPr>
        <w:jc w:val="both"/>
        <w:rPr>
          <w:sz w:val="26"/>
          <w:szCs w:val="26"/>
        </w:rPr>
      </w:pPr>
      <w:r w:rsidRPr="00BD735C">
        <w:rPr>
          <w:sz w:val="26"/>
          <w:szCs w:val="26"/>
        </w:rPr>
        <w:t xml:space="preserve">Мировой судья                                                                                   </w:t>
      </w:r>
      <w:r>
        <w:rPr>
          <w:sz w:val="26"/>
          <w:szCs w:val="26"/>
        </w:rPr>
        <w:t xml:space="preserve">    </w:t>
      </w:r>
      <w:r w:rsidRPr="00BD735C">
        <w:rPr>
          <w:sz w:val="26"/>
          <w:szCs w:val="26"/>
        </w:rPr>
        <w:t xml:space="preserve">    О.А. Новокшенова</w:t>
      </w:r>
    </w:p>
    <w:p w:rsidR="008E34D8" w:rsidRPr="00BD735C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E1"/>
    <w:rsid w:val="008E34D8"/>
    <w:rsid w:val="00B821E1"/>
    <w:rsid w:val="00BD735C"/>
    <w:rsid w:val="00CB30F5"/>
    <w:rsid w:val="00DE01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9BB239-2F32-4DB7-90FB-BDBBC95D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BD735C"/>
    <w:pPr>
      <w:widowControl/>
      <w:autoSpaceDE/>
      <w:autoSpaceDN/>
      <w:adjustRightInd/>
      <w:jc w:val="center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semiHidden/>
    <w:rsid w:val="00BD73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BD735C"/>
    <w:pPr>
      <w:widowControl/>
      <w:autoSpaceDE/>
      <w:autoSpaceDN/>
      <w:adjustRightInd/>
      <w:ind w:firstLine="720"/>
      <w:jc w:val="both"/>
    </w:pPr>
    <w:rPr>
      <w:sz w:val="24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BD73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D73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73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